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E45B" w14:textId="77777777" w:rsidR="00741F29" w:rsidRPr="00741F29" w:rsidRDefault="00741F29" w:rsidP="003C3178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741F29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0BE958C5" w14:textId="77777777" w:rsidR="00741F29" w:rsidRPr="00741F29" w:rsidRDefault="00A8738B" w:rsidP="003C3178">
      <w:pPr>
        <w:spacing w:after="0" w:line="240" w:lineRule="auto"/>
        <w:jc w:val="center"/>
        <w:rPr>
          <w:rFonts w:ascii="Times New Roman" w:eastAsia="MS ??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MS ??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  <w:lang w:eastAsia="x-none"/>
        </w:rPr>
        <w:t xml:space="preserve">до </w:t>
      </w:r>
      <w:proofErr w:type="spellStart"/>
      <w:r>
        <w:rPr>
          <w:rFonts w:ascii="Times New Roman" w:eastAsia="MS ??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  <w:lang w:eastAsia="x-none"/>
        </w:rPr>
        <w:t>проє</w:t>
      </w:r>
      <w:r w:rsidR="00741F29" w:rsidRPr="00741F29">
        <w:rPr>
          <w:rFonts w:ascii="Times New Roman" w:eastAsia="MS ??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  <w:lang w:eastAsia="x-none"/>
        </w:rPr>
        <w:t>кту</w:t>
      </w:r>
      <w:proofErr w:type="spellEnd"/>
      <w:r w:rsidR="00741F29" w:rsidRPr="00741F29">
        <w:rPr>
          <w:rFonts w:ascii="Times New Roman" w:eastAsia="MS ??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  <w:lang w:eastAsia="x-none"/>
        </w:rPr>
        <w:t xml:space="preserve"> Закону України «</w:t>
      </w:r>
      <w:r w:rsidR="00930A37" w:rsidRPr="00930A37">
        <w:rPr>
          <w:rFonts w:ascii="Times New Roman" w:eastAsia="MS ??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  <w:lang w:eastAsia="x-none"/>
        </w:rPr>
        <w:t>Про внесення змін до Закону України «Про регулювання містобудівної діяльності» щодо пайової участі у розвитку інфраструктури населеного пункту</w:t>
      </w:r>
      <w:r w:rsidR="00AC2803">
        <w:rPr>
          <w:rFonts w:ascii="Times New Roman" w:eastAsia="MS ??" w:hAnsi="Times New Roman" w:cs="Times New Roman"/>
          <w:b/>
          <w:bCs/>
          <w:color w:val="000000"/>
          <w:spacing w:val="7"/>
          <w:sz w:val="28"/>
          <w:szCs w:val="28"/>
          <w:shd w:val="clear" w:color="auto" w:fill="FFFFFF"/>
          <w:lang w:eastAsia="x-none"/>
        </w:rPr>
        <w:t xml:space="preserve"> </w:t>
      </w:r>
    </w:p>
    <w:p w14:paraId="11FF2BA7" w14:textId="77777777" w:rsidR="00741F29" w:rsidRPr="00741F29" w:rsidRDefault="00741F29" w:rsidP="003C3178">
      <w:pPr>
        <w:spacing w:after="0" w:line="240" w:lineRule="auto"/>
        <w:rPr>
          <w:rFonts w:ascii="Cambria" w:eastAsia="MS ??" w:hAnsi="Cambria" w:cs="Times New Roman"/>
          <w:sz w:val="24"/>
          <w:szCs w:val="24"/>
          <w:lang w:eastAsia="ru-RU"/>
        </w:rPr>
      </w:pPr>
    </w:p>
    <w:p w14:paraId="053A4DFC" w14:textId="77777777" w:rsidR="00741F29" w:rsidRPr="00741F29" w:rsidRDefault="00741F29" w:rsidP="003C317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741F29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Обґрунтування необхідності прийняття </w:t>
      </w:r>
      <w:proofErr w:type="spellStart"/>
      <w:r w:rsidRPr="00741F29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законопроєкту</w:t>
      </w:r>
      <w:proofErr w:type="spellEnd"/>
    </w:p>
    <w:p w14:paraId="28CE6562" w14:textId="77777777" w:rsidR="00CD2652" w:rsidRPr="00971045" w:rsidRDefault="00CD2652" w:rsidP="003C3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652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Відміна пайової участі була відображена у ряді </w:t>
      </w:r>
      <w:proofErr w:type="spellStart"/>
      <w:r w:rsidRPr="00CD2652">
        <w:rPr>
          <w:rFonts w:ascii="Times New Roman" w:eastAsia="MS ??" w:hAnsi="Times New Roman" w:cs="Times New Roman"/>
          <w:sz w:val="28"/>
          <w:szCs w:val="28"/>
          <w:lang w:eastAsia="ru-RU"/>
        </w:rPr>
        <w:t>законопроєктів</w:t>
      </w:r>
      <w:proofErr w:type="spellEnd"/>
      <w:r w:rsidRPr="00CD2652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, які майже кожного року народні депутати системно вносили на реєстрацію у </w:t>
      </w:r>
      <w:r>
        <w:rPr>
          <w:rFonts w:ascii="Times New Roman" w:eastAsia="MS ??" w:hAnsi="Times New Roman" w:cs="Times New Roman"/>
          <w:sz w:val="28"/>
          <w:szCs w:val="28"/>
          <w:lang w:eastAsia="ru-RU"/>
        </w:rPr>
        <w:t>Верховну Раду Ук</w:t>
      </w:r>
      <w:r w:rsidR="00621E08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раїни: </w:t>
      </w:r>
      <w:r w:rsidR="00971045">
        <w:rPr>
          <w:rFonts w:ascii="Times New Roman" w:hAnsi="Times New Roman" w:cs="Times New Roman"/>
          <w:bCs/>
          <w:iCs/>
          <w:sz w:val="28"/>
          <w:szCs w:val="28"/>
        </w:rPr>
        <w:t>2015 </w:t>
      </w:r>
      <w:r w:rsidR="00971045" w:rsidRPr="00E63C3B">
        <w:rPr>
          <w:rFonts w:ascii="Times New Roman" w:hAnsi="Times New Roman" w:cs="Times New Roman"/>
          <w:bCs/>
          <w:iCs/>
          <w:sz w:val="28"/>
          <w:szCs w:val="28"/>
        </w:rPr>
        <w:t>р.</w:t>
      </w:r>
      <w:r w:rsidR="00971045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1"/>
      </w:r>
      <w:r w:rsidR="00971045">
        <w:rPr>
          <w:rFonts w:ascii="Times New Roman" w:hAnsi="Times New Roman" w:cs="Times New Roman"/>
          <w:bCs/>
          <w:iCs/>
          <w:sz w:val="28"/>
          <w:szCs w:val="28"/>
        </w:rPr>
        <w:t>; 2017 р.</w:t>
      </w:r>
      <w:r w:rsidR="00971045" w:rsidRPr="00871AC6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footnoteReference w:id="2"/>
      </w:r>
      <w:r w:rsidR="00971045" w:rsidRPr="00871AC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71045">
        <w:rPr>
          <w:rFonts w:ascii="Times New Roman" w:hAnsi="Times New Roman" w:cs="Times New Roman"/>
          <w:bCs/>
          <w:iCs/>
          <w:sz w:val="28"/>
          <w:szCs w:val="28"/>
        </w:rPr>
        <w:t xml:space="preserve"> 2018 р.</w:t>
      </w:r>
      <w:r w:rsidR="00971045" w:rsidRPr="00871AC6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footnoteReference w:id="3"/>
      </w:r>
      <w:r w:rsidR="00971045" w:rsidRPr="00871A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71045">
        <w:rPr>
          <w:rFonts w:ascii="Times New Roman" w:hAnsi="Times New Roman" w:cs="Times New Roman"/>
          <w:bCs/>
          <w:iCs/>
          <w:sz w:val="28"/>
          <w:szCs w:val="28"/>
        </w:rPr>
        <w:t>ну і, звичайно, 2019 р.</w:t>
      </w:r>
      <w:r w:rsidR="00971045">
        <w:rPr>
          <w:rStyle w:val="a7"/>
          <w:rFonts w:ascii="Times New Roman" w:hAnsi="Times New Roman" w:cs="Times New Roman"/>
          <w:bCs/>
          <w:iCs/>
          <w:sz w:val="28"/>
          <w:szCs w:val="28"/>
        </w:rPr>
        <w:footnoteReference w:id="4"/>
      </w:r>
      <w:r w:rsidR="009710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1143A38" w14:textId="77777777" w:rsidR="00CD2652" w:rsidRPr="00CD2652" w:rsidRDefault="00E063F4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>
        <w:rPr>
          <w:rFonts w:ascii="Times New Roman" w:eastAsia="MS ??" w:hAnsi="Times New Roman" w:cs="Times New Roman"/>
          <w:sz w:val="28"/>
          <w:szCs w:val="28"/>
          <w:lang w:eastAsia="ru-RU"/>
        </w:rPr>
        <w:t>У пояснювальних записках до</w:t>
      </w:r>
      <w:r w:rsidR="00CD2652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2652">
        <w:rPr>
          <w:rFonts w:ascii="Times New Roman" w:eastAsia="MS ??" w:hAnsi="Times New Roman" w:cs="Times New Roman"/>
          <w:sz w:val="28"/>
          <w:szCs w:val="28"/>
          <w:lang w:eastAsia="ru-RU"/>
        </w:rPr>
        <w:t>законопроєктів</w:t>
      </w:r>
      <w:proofErr w:type="spellEnd"/>
      <w:r w:rsidR="00CD2652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не </w:t>
      </w:r>
      <w:r w:rsidR="00621E08">
        <w:rPr>
          <w:rFonts w:ascii="Times New Roman" w:eastAsia="MS ??" w:hAnsi="Times New Roman" w:cs="Times New Roman"/>
          <w:sz w:val="28"/>
          <w:szCs w:val="28"/>
          <w:lang w:eastAsia="ru-RU"/>
        </w:rPr>
        <w:t>зазначалися</w:t>
      </w:r>
      <w:r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джерела</w:t>
      </w:r>
      <w:r w:rsidR="00CD2652" w:rsidRPr="00CD2652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покриття втрат доходів місцевих бюджетів в разі скасування пайових внесків, що суперечить частині третій статті 142 Конституції України: «витрати органів місцевого самоврядування, що виникли внаслідок рішень органів державної влади, компенсуються державою».</w:t>
      </w:r>
    </w:p>
    <w:p w14:paraId="500A331C" w14:textId="77777777" w:rsidR="00F96E25" w:rsidRDefault="00CD2652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20.09.2019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 </w:t>
      </w:r>
      <w:r w:rsidR="00E063F4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р.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 xml:space="preserve"> прийнято Закон України </w:t>
      </w: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№ 132-IX з тими правками, які збер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 xml:space="preserve">ігають інститут пайових внесків, але </w:t>
      </w:r>
      <w:r w:rsidR="00E063F4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 xml:space="preserve">лише </w:t>
      </w: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 xml:space="preserve">до кінця 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2020 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р</w:t>
      </w: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.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="00E063F4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Відповідно з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01.01.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2021 </w:t>
      </w:r>
      <w:r w:rsidR="00E063F4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р.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органи місцевого самоврядування не матимуть додаткового інструменту зді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йснювати фінансування заходів для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створення комфортних умов</w:t>
      </w: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проживання громадян (будувати, ремонтувати дитячі садочки, школи, лікарні, котельні, дороги, вулиці, провулки та ін.) та регулювати процеси забудови територій.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</w:p>
    <w:p w14:paraId="32579EED" w14:textId="77777777" w:rsidR="00CD099B" w:rsidRDefault="00CD099B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Прихильники скасування пайових внесків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стверджують, що:</w:t>
      </w:r>
    </w:p>
    <w:p w14:paraId="6678B732" w14:textId="77777777" w:rsidR="00CD099B" w:rsidRPr="00CD099B" w:rsidRDefault="00CD099B" w:rsidP="003C317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через існування інституту пайової участі у розвитку інфраструктури населених пунктів </w:t>
      </w:r>
      <w:r w:rsidRP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погіршується рейтинг України по веденню бізнесу </w:t>
      </w:r>
      <w:r w:rsidR="00621E08" w:rsidRP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(індекс </w:t>
      </w:r>
      <w:proofErr w:type="spellStart"/>
      <w:r w:rsidRP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Doing</w:t>
      </w:r>
      <w:proofErr w:type="spellEnd"/>
      <w:r w:rsidRP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proofErr w:type="spellStart"/>
      <w:r w:rsidRP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Business</w:t>
      </w:r>
      <w:proofErr w:type="spellEnd"/>
      <w:r w:rsidR="00621E08" w:rsidRP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)</w:t>
      </w:r>
      <w:r w:rsidRP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.</w:t>
      </w:r>
      <w:r w:rsidRPr="00CD099B">
        <w:rPr>
          <w:rFonts w:ascii="Times New Roman" w:eastAsia="MS ??" w:hAnsi="Times New Roman" w:cs="Times New Roman"/>
          <w:b/>
          <w:bCs/>
          <w:iCs/>
          <w:sz w:val="28"/>
          <w:szCs w:val="28"/>
          <w:lang w:eastAsia="ru-RU" w:bidi="uk-UA"/>
        </w:rPr>
        <w:t xml:space="preserve"> Проте:</w:t>
      </w:r>
    </w:p>
    <w:p w14:paraId="4018F5D8" w14:textId="77777777" w:rsidR="00CD099B" w:rsidRDefault="00CD099B" w:rsidP="003C317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пайова участь не є адміністративним збором за отримання одного з дозвільних документів на початок будівництва. Це необхідний внесок у розвиток інфраструктури відповідного населеного пункту, термін сплати якого не впливає на саму процедуру отримання відповідних дозволів. Головне, щоб вся сума була виплачена до прийняття об’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єкта будівництва в експлуатацію;</w:t>
      </w:r>
    </w:p>
    <w:p w14:paraId="189C42E7" w14:textId="77777777" w:rsidR="00CD099B" w:rsidRDefault="00CD099B" w:rsidP="003C317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якщо заглибитися в саму методику розрахунку індексу і безпосередньо індикатора «отримання дозволів на будівництво», то він стосується лише </w:t>
      </w:r>
      <w:r w:rsidRPr="00CD099B">
        <w:rPr>
          <w:rFonts w:ascii="Times New Roman" w:eastAsia="MS ??" w:hAnsi="Times New Roman" w:cs="Times New Roman"/>
          <w:b/>
          <w:bCs/>
          <w:iCs/>
          <w:sz w:val="28"/>
          <w:szCs w:val="28"/>
          <w:lang w:eastAsia="ru-RU" w:bidi="uk-UA"/>
        </w:rPr>
        <w:t>нежитлових будівель</w:t>
      </w: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. В Україні житловий фонд явно переважає за нежитловий. 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На території невеликих міст, сіл, селищ, ОТГ </w:t>
      </w: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не відбувається масове будівництво магазинів, ресторанів, зерносховищ, різних складів тощо. Тому, навіть якщо б пайову участь опосередковано і віднести до індикатора «отримання дозволів на будівництво», то це був би мінімальний вплив на загальний рейтинг України. Тим більше, що сам індек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с вміщує в собі 75 показників. </w:t>
      </w: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І скасування однієї з </w:t>
      </w: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lastRenderedPageBreak/>
        <w:t xml:space="preserve">десятків дозвільних процедур в одному з десяти індикаторів не зможе 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суттєво змінити позицію України;</w:t>
      </w:r>
    </w:p>
    <w:p w14:paraId="3DBF4CD1" w14:textId="77777777" w:rsidR="00CD099B" w:rsidRPr="00CD099B" w:rsidRDefault="00CD099B" w:rsidP="003C3178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органи місцевого самоврядування використовують пайові внески не за цільовим призначенням. </w:t>
      </w:r>
      <w:r w:rsidRPr="00CD099B">
        <w:rPr>
          <w:rFonts w:ascii="Times New Roman" w:eastAsia="MS ??" w:hAnsi="Times New Roman" w:cs="Times New Roman"/>
          <w:b/>
          <w:bCs/>
          <w:iCs/>
          <w:sz w:val="28"/>
          <w:szCs w:val="28"/>
          <w:lang w:eastAsia="ru-RU" w:bidi="uk-UA"/>
        </w:rPr>
        <w:t>Проте:</w:t>
      </w:r>
    </w:p>
    <w:p w14:paraId="6EF2D0E7" w14:textId="77777777" w:rsidR="00CD099B" w:rsidRDefault="00CD099B" w:rsidP="003C31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п</w:t>
      </w: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айові внески надходять до бюджету розвитку, видатки якого чітко визначені чинними нормами законодавства: по-перше, в ст. 40 Закону України «Про регулювання містобудівної діяльності» чітко зазначено для чого призначені такі кошти – виключно на створення і розвиток інженерно-транспортної та соціальної інфраструктури; по-др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уге, відповідно до пункту 1 ст. </w:t>
      </w: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71 Бюджетного кодексу України надходження від пайової участі зараховуються до бюджету розвитку, який є складовою спеціального фонду місцевих бюджетів. Видатки бюджету розвитку чітко прописані в Бюджетному кодексі України і спрямовуються на соціально-економічний розвиток регіонів, капітальний ремонт та реконструкцію об’єктів соціально-культурної сфери і житлово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-комунального господарства тощо;</w:t>
      </w:r>
    </w:p>
    <w:p w14:paraId="74452C18" w14:textId="77777777" w:rsidR="00CD099B" w:rsidRDefault="00CD099B" w:rsidP="003C317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є ряд громад, де пайові внески сплачуються, а 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жителі не відчувають</w:t>
      </w:r>
      <w:r w:rsidRPr="00CD099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покращення якості доріг, стану благоустрою територій та ін.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Pr="00CD099B">
        <w:rPr>
          <w:rFonts w:ascii="Times New Roman" w:eastAsia="MS ??" w:hAnsi="Times New Roman" w:cs="Times New Roman"/>
          <w:b/>
          <w:bCs/>
          <w:iCs/>
          <w:sz w:val="28"/>
          <w:szCs w:val="28"/>
          <w:lang w:eastAsia="ru-RU" w:bidi="uk-UA"/>
        </w:rPr>
        <w:t>Проте:</w:t>
      </w:r>
    </w:p>
    <w:p w14:paraId="1CB9906E" w14:textId="77777777" w:rsidR="00CD099B" w:rsidRPr="00090DA2" w:rsidRDefault="00CD099B" w:rsidP="003C317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розмір пайових внесків значно відрізняється від громади до громади. Для деяких це незначний фінансовий ресурс, а для інших – ключовий дохід бюджету розвитку. Наприклад, за результатами дослідження, яке провела Асоціація міст України, м. Енергодар (Запорізь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ка обл.) у 2017 р. отримало 20 тис. 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грн пайових внесків, а м. Львів – 154 млн грн. Із 142 опитаних міст 97 із них отримали менше 1 млн грн. 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Тому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органи місцевого самоврядування за 20 тис. 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грн 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не зможуть 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відбудувати всю інфраст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руктуру міста;</w:t>
      </w:r>
    </w:p>
    <w:p w14:paraId="15E67B3E" w14:textId="77777777" w:rsidR="00CD099B" w:rsidRPr="00090DA2" w:rsidRDefault="00CD099B" w:rsidP="003C317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ряд грома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д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використовують пайові внески на розробку </w:t>
      </w:r>
      <w:proofErr w:type="spellStart"/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проєктно</w:t>
      </w:r>
      <w:proofErr w:type="spellEnd"/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-кошторисної документації. Зрозуміло, що у матеріальній формі неможливо побачити результат такого фінансування, але зазначена документація є обов‘язковою для здійснення будівництва та пов'язаних з ним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будівельних робіт;</w:t>
      </w:r>
    </w:p>
    <w:p w14:paraId="4612C49A" w14:textId="77777777" w:rsidR="00090DA2" w:rsidRPr="00090DA2" w:rsidRDefault="00090DA2" w:rsidP="003C3178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пайові внески </w:t>
      </w:r>
      <w:r w:rsidR="00621E08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- 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це 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непрозорий, корупційний механізм.</w:t>
      </w:r>
      <w:r>
        <w:rPr>
          <w:rFonts w:ascii="Times New Roman" w:eastAsia="MS ??" w:hAnsi="Times New Roman" w:cs="Times New Roman"/>
          <w:b/>
          <w:bCs/>
          <w:iCs/>
          <w:sz w:val="28"/>
          <w:szCs w:val="28"/>
          <w:lang w:eastAsia="ru-RU" w:bidi="uk-UA"/>
        </w:rPr>
        <w:t xml:space="preserve"> Проте:</w:t>
      </w:r>
    </w:p>
    <w:p w14:paraId="590D21EF" w14:textId="77777777" w:rsidR="00090DA2" w:rsidRPr="00090DA2" w:rsidRDefault="00090DA2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н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а сьогодні немає жодного обвинувального </w:t>
      </w:r>
      <w:proofErr w:type="spellStart"/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вироку</w:t>
      </w:r>
      <w:proofErr w:type="spellEnd"/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за фактами корупційних дій 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органів місцевого самоврядування</w:t>
      </w:r>
      <w:r w:rsidRPr="00090DA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.</w:t>
      </w:r>
    </w:p>
    <w:p w14:paraId="67DBAD6E" w14:textId="77777777" w:rsidR="00CD2652" w:rsidRPr="00CD2652" w:rsidRDefault="00090DA2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Отже, п</w:t>
      </w:r>
      <w:r w:rsidR="00CD2652"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айові внески – це важливе джерело н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адходжень до бюджету розвитку (близько </w:t>
      </w:r>
      <w:r w:rsidR="00CD2652"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1,6 млрд грн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)</w:t>
      </w:r>
      <w:r w:rsidR="00CD2652"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. </w:t>
      </w:r>
      <w:r w:rsidR="00A8738B"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Пайові внески мають позитивний економічний ефект, адже, розвиваючи та покращуючи інфраструктуру, 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територіальні </w:t>
      </w:r>
      <w:r w:rsidR="00A8738B"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громади стають більш інвестиційно привабливими.</w:t>
      </w:r>
      <w:r w:rsidR="00A8738B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="00CD2652"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За результатами опитування, яке провела Асоціація міст України серед 142 міст та 283 ОТГ, було виявлено наступне: </w:t>
      </w:r>
    </w:p>
    <w:p w14:paraId="71994C78" w14:textId="77777777" w:rsidR="00CD2652" w:rsidRPr="00CD2652" w:rsidRDefault="00CD2652" w:rsidP="003C317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 xml:space="preserve">відсоток покриття місцевих бюджетів пайовими внесками достатньо високий – 92,0% опитаних міст та 34,3% опитаних ОТГ отримують пайові внески; </w:t>
      </w:r>
    </w:p>
    <w:p w14:paraId="21178CEF" w14:textId="77777777" w:rsidR="00CD099B" w:rsidRPr="00CD099B" w:rsidRDefault="00CD2652" w:rsidP="003C317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  <w:t>пайові внески складають більше 50,0% бюджету розвитку чималої кількості міст та ОТГ (42 опитаних міст та 26 ОТГ).</w:t>
      </w:r>
    </w:p>
    <w:p w14:paraId="1F8671B0" w14:textId="77777777" w:rsidR="00741F29" w:rsidRDefault="00CD2652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bCs/>
          <w:iCs/>
          <w:sz w:val="28"/>
          <w:szCs w:val="28"/>
          <w:lang w:eastAsia="ru-RU" w:bidi="uk-UA"/>
        </w:rPr>
      </w:pP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 xml:space="preserve">Крім цього, </w:t>
      </w:r>
      <w:r w:rsidRPr="00CD2652"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в Україні реальна потреба у коштах на фінансування розвитку інфраструктури громад є значно більшою (за результатами 2018 р. – 42,5 млрд грн), ніж надходження пайових внесків до місцевих бюджетів (1,6 млрд грн у 2018 р.). Тому відміна пайової участі призведе до ще більшого недофінансування інвестиційних потреб територіальних громад</w:t>
      </w:r>
      <w:r>
        <w:rPr>
          <w:rFonts w:ascii="Times New Roman" w:eastAsia="MS ??" w:hAnsi="Times New Roman" w:cs="Times New Roman"/>
          <w:bCs/>
          <w:iCs/>
          <w:sz w:val="28"/>
          <w:szCs w:val="28"/>
          <w:lang w:eastAsia="ru-RU"/>
        </w:rPr>
        <w:t>.</w:t>
      </w:r>
      <w:r w:rsidRPr="00CD2652">
        <w:rPr>
          <w:rFonts w:ascii="Times New Roman" w:hAnsi="Times New Roman" w:cs="Times New Roman"/>
          <w:bCs/>
          <w:i/>
          <w:iCs/>
          <w:sz w:val="28"/>
          <w:szCs w:val="28"/>
          <w:lang w:bidi="uk-UA"/>
        </w:rPr>
        <w:t xml:space="preserve"> </w:t>
      </w:r>
    </w:p>
    <w:p w14:paraId="03C41DA5" w14:textId="77777777" w:rsidR="00741F29" w:rsidRPr="009235F7" w:rsidRDefault="00741F29" w:rsidP="003C31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b/>
          <w:sz w:val="28"/>
          <w:szCs w:val="28"/>
          <w:lang w:eastAsia="ru-RU"/>
        </w:rPr>
      </w:pPr>
      <w:r w:rsidRPr="00F96E25"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Мета і завдання </w:t>
      </w:r>
      <w:proofErr w:type="spellStart"/>
      <w:r w:rsidR="00A8738B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A8738B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Закону</w:t>
      </w:r>
    </w:p>
    <w:p w14:paraId="15B1F8F8" w14:textId="77777777" w:rsidR="00741F29" w:rsidRPr="00971045" w:rsidRDefault="00A72155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 xml:space="preserve">Зберегти надходження пайових внесків </w:t>
      </w:r>
      <w:r w:rsidR="00292D36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>та удосконалити механізм</w:t>
      </w:r>
      <w:r w:rsidR="00971045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 xml:space="preserve"> їх нарахування</w:t>
      </w:r>
      <w:r w:rsidR="00292D36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971045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>сплати</w:t>
      </w:r>
      <w:r w:rsidR="00292D36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 xml:space="preserve"> та використання. Передбачається, що такий підхід дозволить </w:t>
      </w:r>
      <w:r w:rsidR="00292D36">
        <w:rPr>
          <w:rFonts w:ascii="Times New Roman" w:eastAsia="MS ??" w:hAnsi="Times New Roman" w:cs="Times New Roman"/>
          <w:bCs/>
          <w:iCs/>
          <w:color w:val="000000"/>
          <w:sz w:val="28"/>
          <w:szCs w:val="28"/>
          <w:lang w:eastAsia="uk-UA" w:bidi="uk-UA"/>
        </w:rPr>
        <w:t>забезпечити</w:t>
      </w:r>
      <w:r w:rsidR="00292D36" w:rsidRPr="00292D36">
        <w:rPr>
          <w:rFonts w:ascii="Times New Roman" w:eastAsia="MS ??" w:hAnsi="Times New Roman" w:cs="Times New Roman"/>
          <w:bCs/>
          <w:iCs/>
          <w:color w:val="000000"/>
          <w:sz w:val="28"/>
          <w:szCs w:val="28"/>
          <w:lang w:eastAsia="uk-UA" w:bidi="uk-UA"/>
        </w:rPr>
        <w:t xml:space="preserve"> прозорість, спростить умови для ведення бізнесу, сприятиме уникненню появи корупційних ризиків</w:t>
      </w:r>
      <w:r w:rsidR="00292D36">
        <w:rPr>
          <w:rFonts w:ascii="Times New Roman" w:eastAsia="MS ??" w:hAnsi="Times New Roman" w:cs="Times New Roman"/>
          <w:bCs/>
          <w:iCs/>
          <w:color w:val="000000"/>
          <w:sz w:val="28"/>
          <w:szCs w:val="28"/>
          <w:lang w:eastAsia="uk-UA" w:bidi="uk-UA"/>
        </w:rPr>
        <w:t xml:space="preserve"> та забезпечить наповнення коштами пайових внесків бюджету розвитку з метою їх подальшого використання на </w:t>
      </w:r>
      <w:r w:rsidR="00971045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>розвиток</w:t>
      </w:r>
      <w:r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72155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>інжене</w:t>
      </w:r>
      <w:r w:rsidR="00621E08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>рно-транспортної та соціальної інфраструктури</w:t>
      </w:r>
      <w:r w:rsidRPr="00A72155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1045"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>у відповідних населених пунктах</w:t>
      </w:r>
      <w:r>
        <w:rPr>
          <w:rFonts w:ascii="Times New Roman" w:eastAsia="MS ??" w:hAnsi="Times New Roman" w:cs="Times New Roman"/>
          <w:color w:val="000000"/>
          <w:sz w:val="28"/>
          <w:szCs w:val="28"/>
          <w:lang w:eastAsia="uk-UA"/>
        </w:rPr>
        <w:t>.</w:t>
      </w:r>
      <w:r w:rsidR="00292D36" w:rsidRPr="00292D36">
        <w:rPr>
          <w:rFonts w:ascii="Times New Roman" w:eastAsia="MS ??" w:hAnsi="Times New Roman" w:cs="Times New Roman"/>
          <w:bCs/>
          <w:iCs/>
          <w:color w:val="000000"/>
          <w:sz w:val="28"/>
          <w:szCs w:val="28"/>
          <w:lang w:eastAsia="uk-UA"/>
        </w:rPr>
        <w:t xml:space="preserve"> </w:t>
      </w:r>
    </w:p>
    <w:p w14:paraId="67A8F425" w14:textId="77777777" w:rsidR="00E063F4" w:rsidRPr="00741F29" w:rsidRDefault="00E063F4" w:rsidP="003C3178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8"/>
          <w:szCs w:val="28"/>
          <w:highlight w:val="yellow"/>
          <w:lang w:eastAsia="uk-UA"/>
        </w:rPr>
      </w:pPr>
    </w:p>
    <w:p w14:paraId="57AB162B" w14:textId="77777777" w:rsidR="00741F29" w:rsidRPr="00741F29" w:rsidRDefault="00741F29" w:rsidP="003C3178">
      <w:pPr>
        <w:tabs>
          <w:tab w:val="left" w:pos="180"/>
          <w:tab w:val="left" w:pos="360"/>
          <w:tab w:val="left" w:pos="54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F96E2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3</w:t>
      </w:r>
      <w:r w:rsidRPr="00F96E2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. </w:t>
      </w:r>
      <w:r w:rsidRPr="00F96E25">
        <w:rPr>
          <w:rFonts w:ascii="Times New Roman" w:eastAsia="MS ??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Загальна характеристика та основні положення </w:t>
      </w:r>
      <w:proofErr w:type="spellStart"/>
      <w:r w:rsidR="00A8738B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A8738B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Закону</w:t>
      </w:r>
    </w:p>
    <w:p w14:paraId="597E4A95" w14:textId="77777777" w:rsidR="00F323FC" w:rsidRDefault="000045EA" w:rsidP="003C3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</w:t>
      </w:r>
      <w:r w:rsidR="00A8738B">
        <w:rPr>
          <w:rFonts w:ascii="Times New Roman" w:hAnsi="Times New Roman" w:cs="Times New Roman"/>
          <w:bCs/>
          <w:sz w:val="28"/>
          <w:szCs w:val="28"/>
        </w:rPr>
        <w:t>ктом</w:t>
      </w:r>
      <w:proofErr w:type="spellEnd"/>
      <w:r w:rsidR="00A8738B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0045EA">
        <w:rPr>
          <w:rFonts w:ascii="Times New Roman" w:hAnsi="Times New Roman" w:cs="Times New Roman"/>
          <w:bCs/>
          <w:sz w:val="28"/>
          <w:szCs w:val="28"/>
        </w:rPr>
        <w:t xml:space="preserve">акону передбачено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відновити положення Закону України «Про регулювання </w:t>
      </w:r>
      <w:r w:rsidRPr="000045EA">
        <w:rPr>
          <w:rFonts w:ascii="Times New Roman" w:hAnsi="Times New Roman" w:cs="Times New Roman"/>
          <w:bCs/>
          <w:sz w:val="28"/>
          <w:szCs w:val="28"/>
        </w:rPr>
        <w:t>містобудівної діяльності</w:t>
      </w:r>
      <w:r>
        <w:rPr>
          <w:rFonts w:ascii="Times New Roman" w:hAnsi="Times New Roman" w:cs="Times New Roman"/>
          <w:bCs/>
          <w:sz w:val="28"/>
          <w:szCs w:val="28"/>
        </w:rPr>
        <w:t>», якими регулювалося питання сплати пайових внесків у розвиток інфраструктури населених пунктів. Зокрема</w:t>
      </w:r>
      <w:r w:rsidR="009710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738B">
        <w:rPr>
          <w:rFonts w:ascii="Times New Roman" w:hAnsi="Times New Roman" w:cs="Times New Roman"/>
          <w:bCs/>
          <w:sz w:val="28"/>
          <w:szCs w:val="28"/>
        </w:rPr>
        <w:t>статтю </w:t>
      </w:r>
      <w:r>
        <w:rPr>
          <w:rFonts w:ascii="Times New Roman" w:hAnsi="Times New Roman" w:cs="Times New Roman"/>
          <w:bCs/>
          <w:sz w:val="28"/>
          <w:szCs w:val="28"/>
        </w:rPr>
        <w:t xml:space="preserve">40 </w:t>
      </w:r>
      <w:r w:rsidRPr="000045EA">
        <w:rPr>
          <w:rFonts w:ascii="Times New Roman" w:hAnsi="Times New Roman" w:cs="Times New Roman"/>
          <w:bCs/>
          <w:sz w:val="28"/>
          <w:szCs w:val="28"/>
        </w:rPr>
        <w:t>Закону України «Про регулювання містобудівної діяльності»</w:t>
      </w:r>
      <w:r w:rsidR="00971045">
        <w:rPr>
          <w:rFonts w:ascii="Times New Roman" w:hAnsi="Times New Roman" w:cs="Times New Roman"/>
          <w:bCs/>
          <w:sz w:val="28"/>
          <w:szCs w:val="28"/>
        </w:rPr>
        <w:t xml:space="preserve"> з удосконаленим механізмом нарахування, сплати та використання па</w:t>
      </w:r>
      <w:r w:rsidR="00292D36">
        <w:rPr>
          <w:rFonts w:ascii="Times New Roman" w:hAnsi="Times New Roman" w:cs="Times New Roman"/>
          <w:bCs/>
          <w:sz w:val="28"/>
          <w:szCs w:val="28"/>
        </w:rPr>
        <w:t>йових внесків</w:t>
      </w:r>
      <w:r w:rsidR="00971045" w:rsidRPr="0097104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.</w:t>
      </w:r>
      <w:r w:rsidR="00971045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Зокрема</w:t>
      </w:r>
      <w:r w:rsidR="00F323FC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</w:t>
      </w:r>
      <w:r w:rsid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запропоновані зміни стосуються</w:t>
      </w:r>
      <w:r w:rsidR="00971045">
        <w:rPr>
          <w:rFonts w:ascii="Times New Roman" w:hAnsi="Times New Roman" w:cs="Times New Roman"/>
          <w:bCs/>
          <w:iCs/>
          <w:sz w:val="28"/>
          <w:szCs w:val="28"/>
          <w:lang w:bidi="uk-UA"/>
        </w:rPr>
        <w:t>:</w:t>
      </w:r>
    </w:p>
    <w:p w14:paraId="5D002399" w14:textId="77777777" w:rsidR="00F323FC" w:rsidRPr="00292D36" w:rsidRDefault="00F323FC" w:rsidP="003C3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uk-UA"/>
        </w:rPr>
      </w:pPr>
      <w:r w:rsidRP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>- встановлення фіксованого розміру сплати пайових внесків: 4% для нежитлових будівель, 2% - для житлових, 0% - для промислових споруд;</w:t>
      </w:r>
    </w:p>
    <w:p w14:paraId="69628CE1" w14:textId="77777777" w:rsidR="00F323FC" w:rsidRPr="00292D36" w:rsidRDefault="00F323FC" w:rsidP="003C3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uk-UA"/>
        </w:rPr>
      </w:pPr>
      <w:r w:rsidRP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>- при розрахунку пайових внесків для житло</w:t>
      </w:r>
      <w:r w:rsid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вих будівель пропонується брати</w:t>
      </w:r>
      <w:r w:rsidRP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</w:t>
      </w:r>
      <w:r w:rsidR="00292D36" w:rsidRP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>за основу показники</w:t>
      </w:r>
      <w:r w:rsidRP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опосередкованої вартості спорудження житла за</w:t>
      </w:r>
      <w:r w:rsidR="00292D36" w:rsidRP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регіонами України, затвердженої</w:t>
      </w:r>
      <w:r w:rsidRPr="00292D36">
        <w:rPr>
          <w:rFonts w:ascii="Times New Roman" w:hAnsi="Times New Roman" w:cs="Times New Roman"/>
          <w:bCs/>
          <w:iCs/>
          <w:sz w:val="28"/>
          <w:szCs w:val="28"/>
          <w:lang w:bidi="uk-UA"/>
        </w:rPr>
        <w:t xml:space="preserve"> центральним органом виконавчої влади, що забезпечує формування та реалізує державну житлову політику і політику у сфері будівництва, архітектури, містобудування</w:t>
      </w:r>
      <w:r w:rsidR="003C3178">
        <w:rPr>
          <w:rFonts w:ascii="Times New Roman" w:hAnsi="Times New Roman" w:cs="Times New Roman"/>
          <w:bCs/>
          <w:iCs/>
          <w:sz w:val="28"/>
          <w:szCs w:val="28"/>
          <w:lang w:bidi="uk-UA"/>
        </w:rPr>
        <w:t>.</w:t>
      </w:r>
    </w:p>
    <w:p w14:paraId="04C38DF3" w14:textId="77777777" w:rsidR="000045EA" w:rsidRDefault="000045EA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296091" w14:textId="77777777" w:rsidR="00741F29" w:rsidRPr="00741F29" w:rsidRDefault="00741F29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F96E25"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F96E25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Правові аспекти</w:t>
      </w:r>
    </w:p>
    <w:p w14:paraId="176A8AD9" w14:textId="77777777" w:rsidR="00741F29" w:rsidRPr="00741F29" w:rsidRDefault="00741F29" w:rsidP="003C3178">
      <w:pPr>
        <w:widowControl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741F29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Прийняття та реалізація </w:t>
      </w:r>
      <w:proofErr w:type="spellStart"/>
      <w:r w:rsidR="00A8738B">
        <w:rPr>
          <w:rFonts w:ascii="Times New Roman" w:eastAsia="MS ??" w:hAnsi="Times New Roman" w:cs="Times New Roman"/>
          <w:sz w:val="28"/>
          <w:szCs w:val="28"/>
          <w:lang w:eastAsia="ru-RU"/>
        </w:rPr>
        <w:t>проєкту</w:t>
      </w:r>
      <w:proofErr w:type="spellEnd"/>
      <w:r w:rsidR="00A8738B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Закону</w:t>
      </w:r>
      <w:r w:rsidRPr="00741F29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не потребує додаткового внесення змін до інших Законів України.</w:t>
      </w:r>
    </w:p>
    <w:p w14:paraId="6D5D5715" w14:textId="77777777" w:rsidR="00741F29" w:rsidRPr="00741F29" w:rsidRDefault="00741F29" w:rsidP="003C3178">
      <w:pPr>
        <w:widowControl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14:paraId="30E2BFEF" w14:textId="77777777" w:rsidR="00741F29" w:rsidRPr="00741F29" w:rsidRDefault="00741F29" w:rsidP="003C3178">
      <w:pPr>
        <w:numPr>
          <w:ilvl w:val="0"/>
          <w:numId w:val="2"/>
        </w:numPr>
        <w:tabs>
          <w:tab w:val="clear" w:pos="1040"/>
          <w:tab w:val="left" w:pos="-426"/>
          <w:tab w:val="num" w:pos="-142"/>
          <w:tab w:val="left" w:pos="0"/>
          <w:tab w:val="num" w:pos="851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1F29">
        <w:rPr>
          <w:rFonts w:ascii="Times New Roman" w:eastAsia="MS ??" w:hAnsi="Times New Roman" w:cs="Times New Roman"/>
          <w:b/>
          <w:bCs/>
          <w:color w:val="000000"/>
          <w:sz w:val="28"/>
          <w:szCs w:val="28"/>
          <w:lang w:eastAsia="ru-RU"/>
        </w:rPr>
        <w:t>Фінансово-економічне обґрунтування</w:t>
      </w:r>
    </w:p>
    <w:p w14:paraId="05E9FEAE" w14:textId="77777777" w:rsidR="00741F29" w:rsidRDefault="00930A37" w:rsidP="003C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  <w:t xml:space="preserve">Прийняття </w:t>
      </w:r>
      <w:proofErr w:type="spellStart"/>
      <w:r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  <w:t>проє</w:t>
      </w:r>
      <w:r w:rsidRPr="00930A37"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  <w:t>кту</w:t>
      </w:r>
      <w:proofErr w:type="spellEnd"/>
      <w:r w:rsidRPr="00930A37"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  <w:t xml:space="preserve"> Закону не потребуватиме додаткових витрат з Державного бюджету України</w:t>
      </w:r>
      <w:r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  <w:t xml:space="preserve"> та місцевих бюджетів.</w:t>
      </w:r>
    </w:p>
    <w:p w14:paraId="7CDC1E4B" w14:textId="77777777" w:rsidR="00930A37" w:rsidRPr="00930A37" w:rsidRDefault="00930A37" w:rsidP="003C3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23830F38" w14:textId="77777777" w:rsidR="00741F29" w:rsidRPr="00F96E25" w:rsidRDefault="00741F29" w:rsidP="003C3178">
      <w:pPr>
        <w:numPr>
          <w:ilvl w:val="0"/>
          <w:numId w:val="2"/>
        </w:numPr>
        <w:tabs>
          <w:tab w:val="clear" w:pos="1040"/>
          <w:tab w:val="num" w:pos="0"/>
          <w:tab w:val="left" w:pos="180"/>
          <w:tab w:val="left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F96E2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Обґрунтування очікуваних соціально-економічних, правових та інших наслідків застосування </w:t>
      </w:r>
      <w:proofErr w:type="spellStart"/>
      <w:r w:rsidR="00A8738B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A8738B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Закону</w:t>
      </w:r>
      <w:r w:rsidRPr="00F96E25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після його прийняття</w:t>
      </w:r>
    </w:p>
    <w:p w14:paraId="75EBA770" w14:textId="77777777" w:rsidR="00930A37" w:rsidRDefault="00741F29" w:rsidP="003C3178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</w:pPr>
      <w:r w:rsidRPr="00741F2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Прийняття </w:t>
      </w:r>
      <w:proofErr w:type="spellStart"/>
      <w:r w:rsidR="00A8738B">
        <w:rPr>
          <w:rFonts w:ascii="Times New Roman" w:eastAsia="SimSun" w:hAnsi="Times New Roman" w:cs="Times New Roman"/>
          <w:sz w:val="28"/>
          <w:szCs w:val="28"/>
          <w:lang w:eastAsia="zh-CN"/>
        </w:rPr>
        <w:t>проєкту</w:t>
      </w:r>
      <w:proofErr w:type="spellEnd"/>
      <w:r w:rsidR="00A873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</w:t>
      </w:r>
      <w:r w:rsidR="00175339">
        <w:rPr>
          <w:rFonts w:ascii="Times New Roman" w:eastAsia="SimSun" w:hAnsi="Times New Roman" w:cs="Times New Roman"/>
          <w:sz w:val="28"/>
          <w:szCs w:val="28"/>
          <w:lang w:eastAsia="zh-CN"/>
        </w:rPr>
        <w:t>акону</w:t>
      </w:r>
      <w:r w:rsidRPr="00741F2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30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сприятиме </w:t>
      </w:r>
      <w:r w:rsidR="00930A37"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  <w:t>збереженню пайових внесків у складі бюджету розвитку територіальних громад, що</w:t>
      </w:r>
      <w:r w:rsidR="00175339">
        <w:rPr>
          <w:rFonts w:ascii="Times New Roman" w:eastAsia="MS ??" w:hAnsi="Times New Roman" w:cs="Times New Roman"/>
          <w:color w:val="000000"/>
          <w:spacing w:val="1"/>
          <w:sz w:val="28"/>
          <w:szCs w:val="28"/>
          <w:lang w:eastAsia="ru-RU"/>
        </w:rPr>
        <w:t xml:space="preserve"> дозволить </w:t>
      </w:r>
      <w:r w:rsid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>створити комфортні</w:t>
      </w:r>
      <w:r w:rsidR="00175339" w:rsidRP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 xml:space="preserve"> умов проживання громадян (будувати, ремонтувати дитячі садочки, школи, лікарні, котельні, дороги, вулиці, провулки та ін.) та </w:t>
      </w:r>
      <w:r w:rsid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 xml:space="preserve">здійснювати </w:t>
      </w:r>
      <w:r w:rsidR="00175339" w:rsidRP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>регу</w:t>
      </w:r>
      <w:r w:rsid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>лювання процесів</w:t>
      </w:r>
      <w:r w:rsidR="00175339" w:rsidRP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 xml:space="preserve"> забудови територій.</w:t>
      </w:r>
      <w:r w:rsid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 xml:space="preserve"> А також сприятиме прозорому механізму нарахування, сплати та використання коштів пайових внесків</w:t>
      </w:r>
      <w:r w:rsidR="00175339" w:rsidRP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 xml:space="preserve">, </w:t>
      </w:r>
      <w:r w:rsid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>спрощенню</w:t>
      </w:r>
      <w:r w:rsidR="00175339" w:rsidRP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 xml:space="preserve"> умов для ведення бізнесу, уникненню появи корупційних ризиків</w:t>
      </w:r>
      <w:r w:rsidR="00175339">
        <w:rPr>
          <w:rFonts w:ascii="Times New Roman" w:eastAsia="MS ??" w:hAnsi="Times New Roman" w:cs="Times New Roman"/>
          <w:bCs/>
          <w:iCs/>
          <w:color w:val="000000"/>
          <w:spacing w:val="1"/>
          <w:sz w:val="28"/>
          <w:szCs w:val="28"/>
          <w:lang w:eastAsia="ru-RU" w:bidi="uk-UA"/>
        </w:rPr>
        <w:t>.</w:t>
      </w:r>
    </w:p>
    <w:p w14:paraId="6C837A8E" w14:textId="77777777" w:rsidR="00741F29" w:rsidRPr="00741F29" w:rsidRDefault="00741F29" w:rsidP="003C317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B0197FE" w14:textId="77777777" w:rsidR="000045EA" w:rsidRPr="00741F29" w:rsidRDefault="000045EA" w:rsidP="003C3178">
      <w:pPr>
        <w:spacing w:after="0" w:line="240" w:lineRule="auto"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14:paraId="5730AF3B" w14:textId="77777777" w:rsidR="00741F29" w:rsidRPr="00175339" w:rsidRDefault="00741F29" w:rsidP="003C3178">
      <w:pPr>
        <w:tabs>
          <w:tab w:val="left" w:pos="896"/>
        </w:tabs>
        <w:spacing w:after="0" w:line="240" w:lineRule="auto"/>
        <w:jc w:val="both"/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</w:pPr>
      <w:r w:rsidRPr="00741F29">
        <w:rPr>
          <w:rFonts w:ascii="Times New Roman" w:eastAsia="MS ??" w:hAnsi="Times New Roman" w:cs="Times New Roman"/>
          <w:b/>
          <w:sz w:val="28"/>
          <w:szCs w:val="28"/>
          <w:lang w:eastAsia="ru-RU"/>
        </w:rPr>
        <w:t xml:space="preserve">   Народний депутат України</w:t>
      </w:r>
      <w:r w:rsidRPr="00741F29">
        <w:rPr>
          <w:rFonts w:ascii="Times New Roman" w:eastAsia="MS ??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Андрійович З.М.</w:t>
      </w:r>
    </w:p>
    <w:p w14:paraId="01BF60F9" w14:textId="77777777" w:rsidR="00741F29" w:rsidRDefault="00741F29" w:rsidP="003C3178">
      <w:pPr>
        <w:spacing w:after="0" w:line="240" w:lineRule="auto"/>
        <w:jc w:val="center"/>
      </w:pPr>
    </w:p>
    <w:sectPr w:rsidR="00741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73C7E" w14:textId="77777777" w:rsidR="00CC01CE" w:rsidRDefault="00CC01CE" w:rsidP="00CD099B">
      <w:pPr>
        <w:spacing w:after="0" w:line="240" w:lineRule="auto"/>
      </w:pPr>
      <w:r>
        <w:separator/>
      </w:r>
    </w:p>
  </w:endnote>
  <w:endnote w:type="continuationSeparator" w:id="0">
    <w:p w14:paraId="64E3CD4B" w14:textId="77777777" w:rsidR="00CC01CE" w:rsidRDefault="00CC01CE" w:rsidP="00CD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B41F6" w14:textId="77777777" w:rsidR="00CC01CE" w:rsidRDefault="00CC01CE" w:rsidP="00CD099B">
      <w:pPr>
        <w:spacing w:after="0" w:line="240" w:lineRule="auto"/>
      </w:pPr>
      <w:r>
        <w:separator/>
      </w:r>
    </w:p>
  </w:footnote>
  <w:footnote w:type="continuationSeparator" w:id="0">
    <w:p w14:paraId="2BC7E478" w14:textId="77777777" w:rsidR="00CC01CE" w:rsidRDefault="00CC01CE" w:rsidP="00CD099B">
      <w:pPr>
        <w:spacing w:after="0" w:line="240" w:lineRule="auto"/>
      </w:pPr>
      <w:r>
        <w:continuationSeparator/>
      </w:r>
    </w:p>
  </w:footnote>
  <w:footnote w:id="1">
    <w:p w14:paraId="017C7FEB" w14:textId="77777777" w:rsidR="00971045" w:rsidRDefault="00971045" w:rsidP="0097104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871AC6">
        <w:rPr>
          <w:rFonts w:ascii="Times New Roman" w:hAnsi="Times New Roman" w:cs="Times New Roman"/>
        </w:rPr>
        <w:t>Проєкт</w:t>
      </w:r>
      <w:proofErr w:type="spellEnd"/>
      <w:r w:rsidRPr="00871AC6">
        <w:rPr>
          <w:rFonts w:ascii="Times New Roman" w:hAnsi="Times New Roman" w:cs="Times New Roman"/>
        </w:rPr>
        <w:t xml:space="preserve"> Закону України «Про внесення змін до Закону України «Про регулювання містобудівної діяльності» (щодо скасування пайової участі у розвитку інфраструктури населеного пункту)» (</w:t>
      </w:r>
      <w:proofErr w:type="spellStart"/>
      <w:r w:rsidRPr="00871AC6">
        <w:rPr>
          <w:rFonts w:ascii="Times New Roman" w:hAnsi="Times New Roman" w:cs="Times New Roman"/>
        </w:rPr>
        <w:t>реєстрац</w:t>
      </w:r>
      <w:proofErr w:type="spellEnd"/>
      <w:r w:rsidRPr="00871AC6">
        <w:rPr>
          <w:rFonts w:ascii="Times New Roman" w:hAnsi="Times New Roman" w:cs="Times New Roman"/>
        </w:rPr>
        <w:t>. № 3610 від 10.12.2015 р.)</w:t>
      </w:r>
    </w:p>
  </w:footnote>
  <w:footnote w:id="2">
    <w:p w14:paraId="20441797" w14:textId="77777777" w:rsidR="00971045" w:rsidRPr="00871AC6" w:rsidRDefault="00971045" w:rsidP="00971045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871AC6">
        <w:rPr>
          <w:rFonts w:ascii="Times New Roman" w:hAnsi="Times New Roman" w:cs="Times New Roman"/>
        </w:rPr>
        <w:t>Проєкт</w:t>
      </w:r>
      <w:proofErr w:type="spellEnd"/>
      <w:r w:rsidRPr="00871AC6">
        <w:rPr>
          <w:rFonts w:ascii="Times New Roman" w:hAnsi="Times New Roman" w:cs="Times New Roman"/>
        </w:rPr>
        <w:t xml:space="preserve"> Закону України «Про внесення змін до деяких законодавчих актів України щодо поліпшення інвестиційного клімату в Україні» (</w:t>
      </w:r>
      <w:proofErr w:type="spellStart"/>
      <w:r w:rsidRPr="00871AC6">
        <w:rPr>
          <w:rFonts w:ascii="Times New Roman" w:hAnsi="Times New Roman" w:cs="Times New Roman"/>
        </w:rPr>
        <w:t>реєстрац</w:t>
      </w:r>
      <w:proofErr w:type="spellEnd"/>
      <w:r w:rsidRPr="00871AC6">
        <w:rPr>
          <w:rFonts w:ascii="Times New Roman" w:hAnsi="Times New Roman" w:cs="Times New Roman"/>
        </w:rPr>
        <w:t>. № 6540 від 06.06.2017 р.)</w:t>
      </w:r>
    </w:p>
  </w:footnote>
  <w:footnote w:id="3">
    <w:p w14:paraId="6F49BEB1" w14:textId="77777777" w:rsidR="00971045" w:rsidRDefault="00971045" w:rsidP="00971045">
      <w:pPr>
        <w:pStyle w:val="a5"/>
        <w:jc w:val="both"/>
      </w:pPr>
      <w:r w:rsidRPr="00871AC6">
        <w:rPr>
          <w:rFonts w:ascii="Times New Roman" w:hAnsi="Times New Roman" w:cs="Times New Roman"/>
        </w:rPr>
        <w:footnoteRef/>
      </w:r>
      <w:r w:rsidRPr="00871AC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Проєкт</w:t>
      </w:r>
      <w:proofErr w:type="spellEnd"/>
      <w:r>
        <w:rPr>
          <w:rFonts w:ascii="Times New Roman" w:hAnsi="Times New Roman" w:cs="Times New Roman"/>
        </w:rPr>
        <w:t xml:space="preserve"> Закону України </w:t>
      </w:r>
      <w:r w:rsidRPr="00871AC6">
        <w:rPr>
          <w:rFonts w:ascii="Times New Roman" w:hAnsi="Times New Roman" w:cs="Times New Roman"/>
        </w:rPr>
        <w:t>«Про внесення змін до деяких законодавчих актів України щодо стимулювання інвестиційної діяльності в Україні» (</w:t>
      </w:r>
      <w:proofErr w:type="spellStart"/>
      <w:r w:rsidRPr="00871AC6">
        <w:rPr>
          <w:rFonts w:ascii="Times New Roman" w:hAnsi="Times New Roman" w:cs="Times New Roman"/>
        </w:rPr>
        <w:t>реєстрац</w:t>
      </w:r>
      <w:proofErr w:type="spellEnd"/>
      <w:r w:rsidRPr="00871AC6">
        <w:rPr>
          <w:rFonts w:ascii="Times New Roman" w:hAnsi="Times New Roman" w:cs="Times New Roman"/>
        </w:rPr>
        <w:t>. № 8124 від 15.03.2018 р.).</w:t>
      </w:r>
    </w:p>
  </w:footnote>
  <w:footnote w:id="4">
    <w:p w14:paraId="7B25728A" w14:textId="77777777" w:rsidR="00971045" w:rsidRDefault="00971045" w:rsidP="0097104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spellStart"/>
      <w:r w:rsidRPr="00871AC6">
        <w:rPr>
          <w:rFonts w:ascii="Times New Roman" w:hAnsi="Times New Roman" w:cs="Times New Roman"/>
        </w:rPr>
        <w:t>Проєкт</w:t>
      </w:r>
      <w:proofErr w:type="spellEnd"/>
      <w:r w:rsidRPr="00871AC6">
        <w:rPr>
          <w:rFonts w:ascii="Times New Roman" w:hAnsi="Times New Roman" w:cs="Times New Roman"/>
        </w:rPr>
        <w:t xml:space="preserve"> Закону України «Про внесення змін до деяких законодавчих актів України щодо стимулювання інвестиційної діяльності в Україні» </w:t>
      </w:r>
      <w:r>
        <w:rPr>
          <w:rFonts w:ascii="Times New Roman" w:hAnsi="Times New Roman" w:cs="Times New Roman"/>
        </w:rPr>
        <w:t>(</w:t>
      </w:r>
      <w:proofErr w:type="spellStart"/>
      <w:r w:rsidRPr="00871AC6">
        <w:rPr>
          <w:rFonts w:ascii="Times New Roman" w:hAnsi="Times New Roman" w:cs="Times New Roman"/>
        </w:rPr>
        <w:t>реєстрац</w:t>
      </w:r>
      <w:proofErr w:type="spellEnd"/>
      <w:r w:rsidRPr="00871AC6">
        <w:rPr>
          <w:rFonts w:ascii="Times New Roman" w:hAnsi="Times New Roman" w:cs="Times New Roman"/>
        </w:rPr>
        <w:t>. № 1059 від 29.08.2019 р.</w:t>
      </w:r>
      <w:r>
        <w:rPr>
          <w:rFonts w:ascii="Times New Roman" w:hAnsi="Times New Roman" w:cs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82022"/>
    <w:multiLevelType w:val="hybridMultilevel"/>
    <w:tmpl w:val="E9DA0FF2"/>
    <w:lvl w:ilvl="0" w:tplc="E06AD56A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3C1C"/>
    <w:multiLevelType w:val="hybridMultilevel"/>
    <w:tmpl w:val="05C48A60"/>
    <w:lvl w:ilvl="0" w:tplc="22CE88F0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" w15:restartNumberingAfterBreak="0">
    <w:nsid w:val="467C57EC"/>
    <w:multiLevelType w:val="hybridMultilevel"/>
    <w:tmpl w:val="9202C164"/>
    <w:lvl w:ilvl="0" w:tplc="837243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97641D"/>
    <w:multiLevelType w:val="hybridMultilevel"/>
    <w:tmpl w:val="08B2DC14"/>
    <w:lvl w:ilvl="0" w:tplc="FC2A75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0D4937"/>
    <w:multiLevelType w:val="hybridMultilevel"/>
    <w:tmpl w:val="27648D62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92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64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36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08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380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52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248" w:hanging="180"/>
      </w:pPr>
      <w:rPr>
        <w:rFonts w:cs="Times New Roman"/>
      </w:rPr>
    </w:lvl>
  </w:abstractNum>
  <w:abstractNum w:abstractNumId="5" w15:restartNumberingAfterBreak="0">
    <w:nsid w:val="740071FE"/>
    <w:multiLevelType w:val="hybridMultilevel"/>
    <w:tmpl w:val="E2C67FA4"/>
    <w:lvl w:ilvl="0" w:tplc="FC2A756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47"/>
    <w:rsid w:val="000045EA"/>
    <w:rsid w:val="000142EB"/>
    <w:rsid w:val="00090DA2"/>
    <w:rsid w:val="000B058B"/>
    <w:rsid w:val="00175339"/>
    <w:rsid w:val="001B1078"/>
    <w:rsid w:val="001D0676"/>
    <w:rsid w:val="00206947"/>
    <w:rsid w:val="00245303"/>
    <w:rsid w:val="00292D36"/>
    <w:rsid w:val="002958B3"/>
    <w:rsid w:val="002F20AB"/>
    <w:rsid w:val="002F2BFC"/>
    <w:rsid w:val="00306CA9"/>
    <w:rsid w:val="00345D12"/>
    <w:rsid w:val="00385203"/>
    <w:rsid w:val="0039009D"/>
    <w:rsid w:val="003B7376"/>
    <w:rsid w:val="003C3178"/>
    <w:rsid w:val="003C6731"/>
    <w:rsid w:val="003E6B10"/>
    <w:rsid w:val="003F4070"/>
    <w:rsid w:val="00432E9B"/>
    <w:rsid w:val="00467F91"/>
    <w:rsid w:val="00472BC8"/>
    <w:rsid w:val="00473FAA"/>
    <w:rsid w:val="00501C96"/>
    <w:rsid w:val="00524863"/>
    <w:rsid w:val="00564147"/>
    <w:rsid w:val="00621E08"/>
    <w:rsid w:val="006D26A9"/>
    <w:rsid w:val="007312E9"/>
    <w:rsid w:val="00741F29"/>
    <w:rsid w:val="008125E6"/>
    <w:rsid w:val="008671BD"/>
    <w:rsid w:val="00881539"/>
    <w:rsid w:val="008B0435"/>
    <w:rsid w:val="009235F7"/>
    <w:rsid w:val="00930557"/>
    <w:rsid w:val="00930A37"/>
    <w:rsid w:val="009557B6"/>
    <w:rsid w:val="00971045"/>
    <w:rsid w:val="009F390A"/>
    <w:rsid w:val="00A06B3A"/>
    <w:rsid w:val="00A16B51"/>
    <w:rsid w:val="00A44C01"/>
    <w:rsid w:val="00A72155"/>
    <w:rsid w:val="00A7716F"/>
    <w:rsid w:val="00A8738B"/>
    <w:rsid w:val="00AA7455"/>
    <w:rsid w:val="00AC2803"/>
    <w:rsid w:val="00B013A7"/>
    <w:rsid w:val="00B145C3"/>
    <w:rsid w:val="00B75451"/>
    <w:rsid w:val="00B7733F"/>
    <w:rsid w:val="00B82553"/>
    <w:rsid w:val="00BD7EAB"/>
    <w:rsid w:val="00CA72B3"/>
    <w:rsid w:val="00CC01CE"/>
    <w:rsid w:val="00CD099B"/>
    <w:rsid w:val="00CD2652"/>
    <w:rsid w:val="00D1632B"/>
    <w:rsid w:val="00D355D1"/>
    <w:rsid w:val="00D359A1"/>
    <w:rsid w:val="00D473FE"/>
    <w:rsid w:val="00D63B79"/>
    <w:rsid w:val="00D92A0F"/>
    <w:rsid w:val="00E063F4"/>
    <w:rsid w:val="00EB2F18"/>
    <w:rsid w:val="00EB45DC"/>
    <w:rsid w:val="00F26BCF"/>
    <w:rsid w:val="00F31364"/>
    <w:rsid w:val="00F323FC"/>
    <w:rsid w:val="00F96E25"/>
    <w:rsid w:val="00FC5E3B"/>
    <w:rsid w:val="00FC64C5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B291"/>
  <w15:chartTrackingRefBased/>
  <w15:docId w15:val="{A755FD38-792F-49CD-B42E-D0FACE8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2B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D09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09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0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Діна Серебрянська</dc:creator>
  <cp:keywords/>
  <dc:description/>
  <cp:lastModifiedBy>Александра Захарова</cp:lastModifiedBy>
  <cp:revision>2</cp:revision>
  <dcterms:created xsi:type="dcterms:W3CDTF">2020-12-30T08:46:00Z</dcterms:created>
  <dcterms:modified xsi:type="dcterms:W3CDTF">2020-12-30T08:46:00Z</dcterms:modified>
</cp:coreProperties>
</file>